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tblPr>
      <w:tblGrid>
        <w:gridCol w:w="1689"/>
        <w:gridCol w:w="458"/>
        <w:gridCol w:w="6348"/>
        <w:gridCol w:w="350"/>
        <w:gridCol w:w="217"/>
      </w:tblGrid>
      <w:tr w:rsidRPr="008F2240" w:rsidR="008F2240" w:rsidTr="008F2240" w14:paraId="46C7D6CF" w14:textId="77777777">
        <w:trPr>
          <w:gridAfter w:val="1"/>
          <w:wAfter w:w="10" w:type="dxa"/>
          <w:trHeight w:val="450"/>
        </w:trPr>
        <w:tc>
          <w:tcPr>
            <w:tcW w:w="6012" w:type="dxa"/>
            <w:gridSpan w:val="2"/>
            <w:vMerge w:val="restart"/>
            <w:noWrap/>
            <w:hideMark/>
          </w:tcPr>
          <w:p w:rsidRPr="008F2240" w:rsidR="008F2240" w:rsidRDefault="008F2240" w14:paraId="15E87B6E" w14:textId="48B6E0CF"/>
          <w:tbl>
            <w:tblPr>
              <w:tblW w:w="0" w:type="auto"/>
              <w:tblCellSpacing w:w="0" w:type="dxa"/>
              <w:tblCellMar>
                <w:left w:w="0" w:type="dxa"/>
                <w:right w:w="0" w:type="dxa"/>
              </w:tblCellMar>
              <w:tblLook w:val="04a0"/>
            </w:tblPr>
            <w:tblGrid>
              <w:gridCol w:w="1921"/>
            </w:tblGrid>
            <w:tr w:rsidRPr="008F2240" w:rsidR="008F2240" w14:paraId="669BAE40" w14:textId="77777777">
              <w:trPr>
                <w:trHeight w:val="450"/>
                <w:tblCellSpacing w:w="0" w:type="dxa"/>
              </w:trPr>
              <w:tc>
                <w:tcPr>
                  <w:tcW w:w="708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F2240" w:rsidR="008F2240" w:rsidP="008F2240" w:rsidRDefault="008F2240" w14:paraId="12D3E8EE" w14:textId="77777777">
                  <w:r w:rsidRPr="008F2240">
                    <w:t> </w:t>
                  </w:r>
                </w:p>
              </w:tc>
            </w:tr>
            <w:tr w:rsidRPr="008F2240" w:rsidR="008F2240" w14:paraId="1E23F02D" w14:textId="77777777">
              <w:trPr>
                <w:trHeight w:val="450"/>
                <w:tblCellSpacing w:w="0" w:type="dxa"/>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8F2240" w:rsidR="008F2240" w:rsidRDefault="008F2240" w14:paraId="7D78CB80" w14:textId="77777777"/>
              </w:tc>
            </w:tr>
          </w:tbl>
          <w:p w:rsidRPr="008F2240" w:rsidR="008F2240" w:rsidRDefault="008F2240" w14:paraId="63C1BFCB" w14:textId="77777777"/>
        </w:tc>
        <w:tc>
          <w:tcPr>
            <w:tcW w:w="25653" w:type="dxa"/>
            <w:gridSpan w:val="2"/>
            <w:vMerge w:val="restart"/>
            <w:hideMark/>
          </w:tcPr>
          <w:p>
            <w:pPr>
              <w:rPr>
                <w:b/>
                <w:bCs/>
                <w:lang w:val="en-US"/>
              </w:rPr>
            </w:pPr>
            <w:r w:rsidRPr="008F2240">
              <w:rPr>
                <w:b/>
                <w:bCs/>
                <w:lang w:val="en-US"/>
              </w:rPr>
              <w:t xml:space="preserve">HAFTUNGSAUSSCHLUSS: Die in diesem Dokument enthaltenen Informationen dienen ausschließlich zu Bildungszwecken und stellen keine Anlageempfehlungen oder Befürwortungen dar. Außerdem ist dies nur eine unvollständige Liste der Möglichkeiten, die heute auf dem Markt verfügbar sind. Führen Sie immer Ihre eigenen Nachforschungen durch und/oder lassen Sie sich professionell beraten, bevor Sie eine Investition tätigen. </w:t>
            </w:r>
          </w:p>
        </w:tc>
      </w:tr>
      <w:tr w:rsidRPr="008F2240" w:rsidR="008F2240" w:rsidTr="008F2240" w14:paraId="44456381" w14:textId="77777777">
        <w:trPr>
          <w:trHeight w:val="315"/>
        </w:trPr>
        <w:tc>
          <w:tcPr>
            <w:tcW w:w="6012" w:type="dxa"/>
            <w:gridSpan w:val="2"/>
            <w:vMerge/>
            <w:hideMark/>
          </w:tcPr>
          <w:p w:rsidRPr="008F2240" w:rsidR="008F2240" w:rsidRDefault="008F2240" w14:paraId="7B888DD3" w14:textId="77777777">
            <w:pPr>
              <w:rPr>
                <w:lang w:val="en-US"/>
              </w:rPr>
            </w:pPr>
          </w:p>
        </w:tc>
        <w:tc>
          <w:tcPr>
            <w:tcW w:w="25653" w:type="dxa"/>
            <w:gridSpan w:val="2"/>
            <w:vMerge/>
            <w:hideMark/>
          </w:tcPr>
          <w:p w:rsidRPr="008F2240" w:rsidR="008F2240" w:rsidRDefault="008F2240" w14:paraId="40B5D48F" w14:textId="77777777">
            <w:pPr>
              <w:rPr>
                <w:b/>
                <w:bCs/>
                <w:lang w:val="en-US"/>
              </w:rPr>
            </w:pPr>
          </w:p>
        </w:tc>
        <w:tc>
          <w:tcPr>
            <w:tcW w:w="10" w:type="dxa"/>
            <w:noWrap/>
            <w:hideMark/>
          </w:tcPr>
          <w:p w:rsidRPr="008F2240" w:rsidR="008F2240" w:rsidP="008F2240" w:rsidRDefault="008F2240" w14:paraId="1AA84400" w14:textId="77777777">
            <w:pPr>
              <w:rPr>
                <w:b/>
                <w:bCs/>
                <w:lang w:val="en-US"/>
              </w:rPr>
            </w:pPr>
          </w:p>
        </w:tc>
      </w:tr>
      <w:tr w:rsidRPr="008F2240" w:rsidR="008F2240" w:rsidTr="008F2240" w14:paraId="069348D2" w14:textId="77777777">
        <w:trPr>
          <w:trHeight w:val="315"/>
        </w:trPr>
        <w:tc>
          <w:tcPr>
            <w:tcW w:w="6012" w:type="dxa"/>
            <w:gridSpan w:val="2"/>
            <w:vMerge/>
            <w:hideMark/>
          </w:tcPr>
          <w:p w:rsidRPr="008F2240" w:rsidR="008F2240" w:rsidRDefault="008F2240" w14:paraId="35072BD9" w14:textId="77777777">
            <w:pPr>
              <w:rPr>
                <w:lang w:val="en-US"/>
              </w:rPr>
            </w:pPr>
          </w:p>
        </w:tc>
        <w:tc>
          <w:tcPr>
            <w:tcW w:w="25653" w:type="dxa"/>
            <w:gridSpan w:val="2"/>
            <w:vMerge/>
            <w:hideMark/>
          </w:tcPr>
          <w:p w:rsidRPr="008F2240" w:rsidR="008F2240" w:rsidRDefault="008F2240" w14:paraId="6F29F175" w14:textId="77777777">
            <w:pPr>
              <w:rPr>
                <w:b/>
                <w:bCs/>
                <w:lang w:val="en-US"/>
              </w:rPr>
            </w:pPr>
          </w:p>
        </w:tc>
        <w:tc>
          <w:tcPr>
            <w:tcW w:w="10" w:type="dxa"/>
            <w:noWrap/>
            <w:hideMark/>
          </w:tcPr>
          <w:p w:rsidRPr="008F2240" w:rsidR="008F2240" w:rsidRDefault="008F2240" w14:paraId="3720F63D" w14:textId="77777777">
            <w:pPr>
              <w:rPr>
                <w:lang w:val="en-US"/>
              </w:rPr>
            </w:pPr>
          </w:p>
        </w:tc>
      </w:tr>
      <w:tr w:rsidRPr="008F2240" w:rsidR="008F2240" w:rsidTr="008F2240" w14:paraId="27CF0C3D" w14:textId="77777777">
        <w:trPr>
          <w:trHeight w:val="315"/>
        </w:trPr>
        <w:tc>
          <w:tcPr>
            <w:tcW w:w="6012" w:type="dxa"/>
            <w:gridSpan w:val="2"/>
            <w:vMerge/>
            <w:hideMark/>
          </w:tcPr>
          <w:p w:rsidRPr="008F2240" w:rsidR="008F2240" w:rsidRDefault="008F2240" w14:paraId="5B5D5EC7" w14:textId="77777777">
            <w:pPr>
              <w:rPr>
                <w:lang w:val="en-US"/>
              </w:rPr>
            </w:pPr>
          </w:p>
        </w:tc>
        <w:tc>
          <w:tcPr>
            <w:tcW w:w="25653" w:type="dxa"/>
            <w:gridSpan w:val="2"/>
            <w:vMerge/>
            <w:hideMark/>
          </w:tcPr>
          <w:p w:rsidRPr="008F2240" w:rsidR="008F2240" w:rsidRDefault="008F2240" w14:paraId="2809E4DE" w14:textId="77777777">
            <w:pPr>
              <w:rPr>
                <w:b/>
                <w:bCs/>
                <w:lang w:val="en-US"/>
              </w:rPr>
            </w:pPr>
          </w:p>
        </w:tc>
        <w:tc>
          <w:tcPr>
            <w:tcW w:w="10" w:type="dxa"/>
            <w:noWrap/>
            <w:hideMark/>
          </w:tcPr>
          <w:p w:rsidRPr="008F2240" w:rsidR="008F2240" w:rsidRDefault="008F2240" w14:paraId="1E9DD3B2" w14:textId="77777777">
            <w:pPr>
              <w:rPr>
                <w:lang w:val="en-US"/>
              </w:rPr>
            </w:pPr>
          </w:p>
        </w:tc>
      </w:tr>
      <w:tr w:rsidRPr="008F2240" w:rsidR="008F2240" w:rsidTr="008F2240" w14:paraId="0571D42F" w14:textId="77777777">
        <w:trPr>
          <w:trHeight w:val="315"/>
        </w:trPr>
        <w:tc>
          <w:tcPr>
            <w:tcW w:w="6012" w:type="dxa"/>
            <w:gridSpan w:val="2"/>
            <w:vMerge/>
            <w:hideMark/>
          </w:tcPr>
          <w:p w:rsidRPr="008F2240" w:rsidR="008F2240" w:rsidRDefault="008F2240" w14:paraId="4D1538F5" w14:textId="77777777">
            <w:pPr>
              <w:rPr>
                <w:lang w:val="en-US"/>
              </w:rPr>
            </w:pPr>
          </w:p>
        </w:tc>
        <w:tc>
          <w:tcPr>
            <w:tcW w:w="25653" w:type="dxa"/>
            <w:gridSpan w:val="2"/>
            <w:vMerge/>
            <w:hideMark/>
          </w:tcPr>
          <w:p w:rsidRPr="008F2240" w:rsidR="008F2240" w:rsidRDefault="008F2240" w14:paraId="4236DCB4" w14:textId="77777777">
            <w:pPr>
              <w:rPr>
                <w:b/>
                <w:bCs/>
                <w:lang w:val="en-US"/>
              </w:rPr>
            </w:pPr>
          </w:p>
        </w:tc>
        <w:tc>
          <w:tcPr>
            <w:tcW w:w="10" w:type="dxa"/>
            <w:noWrap/>
            <w:hideMark/>
          </w:tcPr>
          <w:p w:rsidRPr="008F2240" w:rsidR="008F2240" w:rsidRDefault="008F2240" w14:paraId="4DBDCD17" w14:textId="77777777">
            <w:pPr>
              <w:rPr>
                <w:lang w:val="en-US"/>
              </w:rPr>
            </w:pPr>
          </w:p>
        </w:tc>
      </w:tr>
      <w:tr w:rsidRPr="008F2240" w:rsidR="008F2240" w:rsidTr="008F2240" w14:paraId="75788C2F" w14:textId="77777777">
        <w:trPr>
          <w:trHeight w:val="315"/>
        </w:trPr>
        <w:tc>
          <w:tcPr>
            <w:tcW w:w="6012" w:type="dxa"/>
            <w:gridSpan w:val="2"/>
            <w:vMerge/>
            <w:hideMark/>
          </w:tcPr>
          <w:p w:rsidRPr="008F2240" w:rsidR="008F2240" w:rsidRDefault="008F2240" w14:paraId="7AE5C6F8" w14:textId="77777777">
            <w:pPr>
              <w:rPr>
                <w:lang w:val="en-US"/>
              </w:rPr>
            </w:pPr>
          </w:p>
        </w:tc>
        <w:tc>
          <w:tcPr>
            <w:tcW w:w="25653" w:type="dxa"/>
            <w:gridSpan w:val="2"/>
            <w:vMerge/>
            <w:hideMark/>
          </w:tcPr>
          <w:p w:rsidRPr="008F2240" w:rsidR="008F2240" w:rsidRDefault="008F2240" w14:paraId="5C0F0543" w14:textId="77777777">
            <w:pPr>
              <w:rPr>
                <w:b/>
                <w:bCs/>
                <w:lang w:val="en-US"/>
              </w:rPr>
            </w:pPr>
          </w:p>
        </w:tc>
        <w:tc>
          <w:tcPr>
            <w:tcW w:w="10" w:type="dxa"/>
            <w:noWrap/>
            <w:hideMark/>
          </w:tcPr>
          <w:p w:rsidRPr="008F2240" w:rsidR="008F2240" w:rsidRDefault="008F2240" w14:paraId="4749CE34" w14:textId="77777777">
            <w:pPr>
              <w:rPr>
                <w:lang w:val="en-US"/>
              </w:rPr>
            </w:pPr>
          </w:p>
        </w:tc>
      </w:tr>
      <w:tr w:rsidRPr="008F2240" w:rsidR="008F2240" w:rsidTr="008F2240" w14:paraId="349C2D3C" w14:textId="77777777">
        <w:trPr>
          <w:trHeight w:val="315"/>
        </w:trPr>
        <w:tc>
          <w:tcPr>
            <w:tcW w:w="6012" w:type="dxa"/>
            <w:gridSpan w:val="2"/>
            <w:vMerge/>
            <w:hideMark/>
          </w:tcPr>
          <w:p w:rsidRPr="008F2240" w:rsidR="008F2240" w:rsidRDefault="008F2240" w14:paraId="2CA6EB79" w14:textId="77777777">
            <w:pPr>
              <w:rPr>
                <w:lang w:val="en-US"/>
              </w:rPr>
            </w:pPr>
          </w:p>
        </w:tc>
        <w:tc>
          <w:tcPr>
            <w:tcW w:w="25653" w:type="dxa"/>
            <w:gridSpan w:val="2"/>
            <w:vMerge/>
            <w:hideMark/>
          </w:tcPr>
          <w:p w:rsidRPr="008F2240" w:rsidR="008F2240" w:rsidRDefault="008F2240" w14:paraId="1AA4594D" w14:textId="77777777">
            <w:pPr>
              <w:rPr>
                <w:b/>
                <w:bCs/>
                <w:lang w:val="en-US"/>
              </w:rPr>
            </w:pPr>
          </w:p>
        </w:tc>
        <w:tc>
          <w:tcPr>
            <w:tcW w:w="10" w:type="dxa"/>
            <w:noWrap/>
            <w:hideMark/>
          </w:tcPr>
          <w:p w:rsidRPr="008F2240" w:rsidR="008F2240" w:rsidRDefault="008F2240" w14:paraId="2E02985F" w14:textId="77777777">
            <w:pPr>
              <w:rPr>
                <w:lang w:val="en-US"/>
              </w:rPr>
            </w:pPr>
          </w:p>
        </w:tc>
      </w:tr>
      <w:tr w:rsidRPr="008F2240" w:rsidR="008F2240" w:rsidTr="008F2240" w14:paraId="6E02A313" w14:textId="77777777">
        <w:trPr>
          <w:trHeight w:val="315"/>
        </w:trPr>
        <w:tc>
          <w:tcPr>
            <w:tcW w:w="6012" w:type="dxa"/>
            <w:gridSpan w:val="2"/>
            <w:vMerge/>
            <w:hideMark/>
          </w:tcPr>
          <w:p w:rsidRPr="008F2240" w:rsidR="008F2240" w:rsidRDefault="008F2240" w14:paraId="66801D87" w14:textId="77777777">
            <w:pPr>
              <w:rPr>
                <w:lang w:val="en-US"/>
              </w:rPr>
            </w:pPr>
          </w:p>
        </w:tc>
        <w:tc>
          <w:tcPr>
            <w:tcW w:w="25653" w:type="dxa"/>
            <w:gridSpan w:val="2"/>
            <w:vMerge/>
            <w:hideMark/>
          </w:tcPr>
          <w:p w:rsidRPr="008F2240" w:rsidR="008F2240" w:rsidRDefault="008F2240" w14:paraId="5BF9AFDD" w14:textId="77777777">
            <w:pPr>
              <w:rPr>
                <w:b/>
                <w:bCs/>
                <w:lang w:val="en-US"/>
              </w:rPr>
            </w:pPr>
          </w:p>
        </w:tc>
        <w:tc>
          <w:tcPr>
            <w:tcW w:w="10" w:type="dxa"/>
            <w:noWrap/>
            <w:hideMark/>
          </w:tcPr>
          <w:p w:rsidRPr="008F2240" w:rsidR="008F2240" w:rsidRDefault="008F2240" w14:paraId="14DC99BD" w14:textId="77777777">
            <w:pPr>
              <w:rPr>
                <w:lang w:val="en-US"/>
              </w:rPr>
            </w:pPr>
          </w:p>
        </w:tc>
      </w:tr>
      <w:tr w:rsidRPr="008F2240" w:rsidR="008F2240" w:rsidTr="008F2240" w14:paraId="64DFD0DA" w14:textId="77777777">
        <w:trPr>
          <w:trHeight w:val="315"/>
        </w:trPr>
        <w:tc>
          <w:tcPr>
            <w:tcW w:w="31665" w:type="dxa"/>
            <w:gridSpan w:val="4"/>
            <w:noWrap/>
            <w:hideMark/>
          </w:tcPr>
          <w:p w:rsidRPr="008F2240" w:rsidR="008F2240" w:rsidP="008F2240" w:rsidRDefault="008F2240" w14:paraId="763711AD" w14:textId="77777777">
            <w:pPr>
              <w:rPr>
                <w:lang w:val="en-US"/>
              </w:rPr>
            </w:pPr>
            <w:r w:rsidRPr="008F2240">
              <w:rPr>
                <w:lang w:val="en-US"/>
              </w:rPr>
              <w:t> </w:t>
            </w:r>
          </w:p>
        </w:tc>
        <w:tc>
          <w:tcPr>
            <w:tcW w:w="10" w:type="dxa"/>
            <w:hideMark/>
          </w:tcPr>
          <w:p w:rsidRPr="008F2240" w:rsidR="008F2240" w:rsidRDefault="008F2240" w14:paraId="39AE0AC4" w14:textId="77777777">
            <w:pPr>
              <w:rPr>
                <w:lang w:val="en-US"/>
              </w:rPr>
            </w:pPr>
          </w:p>
        </w:tc>
      </w:tr>
      <w:tr w:rsidRPr="008F2240" w:rsidR="008F2240" w:rsidTr="008F2240" w14:paraId="7F337F4F" w14:textId="77777777">
        <w:trPr>
          <w:trHeight w:val="315"/>
        </w:trPr>
        <w:tc>
          <w:tcPr>
            <w:tcW w:w="31665" w:type="dxa"/>
            <w:gridSpan w:val="4"/>
            <w:vMerge w:val="restart"/>
            <w:hideMark/>
          </w:tcPr>
          <w:p>
            <w:pPr>
              <w:rPr>
                <w:b/>
                <w:bCs/>
                <w:lang w:val="en-US"/>
              </w:rPr>
            </w:pPr>
            <w:r w:rsidRPr="008F2240">
              <w:rPr>
                <w:b/>
                <w:bCs/>
                <w:lang w:val="en-US"/>
              </w:rPr>
              <w:t xml:space="preserve">Vergleichen Sie die beiden börsengehandelten Fonds, indem Sie speziell auf den Namen, die Beschreibung und die tatsächlichen Top-Positionen achten und prüfen, ob diese mit der Nachhaltigkeit übereinstimmen (wenn Sie nicht weiterkommen, finden Sie auf der nächsten Registerkarte einige nützliche Hinweise)</w:t>
            </w:r>
          </w:p>
        </w:tc>
        <w:tc>
          <w:tcPr>
            <w:tcW w:w="10" w:type="dxa"/>
            <w:hideMark/>
          </w:tcPr>
          <w:p w:rsidRPr="008F2240" w:rsidR="008F2240" w:rsidRDefault="008F2240" w14:paraId="5D1B6661" w14:textId="77777777">
            <w:pPr>
              <w:rPr>
                <w:lang w:val="en-US"/>
              </w:rPr>
            </w:pPr>
          </w:p>
        </w:tc>
      </w:tr>
      <w:tr w:rsidRPr="008F2240" w:rsidR="008F2240" w:rsidTr="008F2240" w14:paraId="18A59798" w14:textId="77777777">
        <w:trPr>
          <w:trHeight w:val="315"/>
        </w:trPr>
        <w:tc>
          <w:tcPr>
            <w:tcW w:w="31665" w:type="dxa"/>
            <w:gridSpan w:val="4"/>
            <w:vMerge/>
            <w:hideMark/>
          </w:tcPr>
          <w:p w:rsidRPr="008F2240" w:rsidR="008F2240" w:rsidRDefault="008F2240" w14:paraId="75A8055D" w14:textId="77777777">
            <w:pPr>
              <w:rPr>
                <w:b/>
                <w:bCs/>
                <w:lang w:val="en-US"/>
              </w:rPr>
            </w:pPr>
          </w:p>
        </w:tc>
        <w:tc>
          <w:tcPr>
            <w:tcW w:w="10" w:type="dxa"/>
            <w:noWrap/>
            <w:hideMark/>
          </w:tcPr>
          <w:p w:rsidRPr="008F2240" w:rsidR="008F2240" w:rsidP="008F2240" w:rsidRDefault="008F2240" w14:paraId="49E2B0CD" w14:textId="77777777">
            <w:pPr>
              <w:rPr>
                <w:b/>
                <w:bCs/>
                <w:lang w:val="en-US"/>
              </w:rPr>
            </w:pPr>
          </w:p>
        </w:tc>
      </w:tr>
      <w:tr w:rsidRPr="008F2240" w:rsidR="008F2240" w:rsidTr="008F2240" w14:paraId="759EADA1" w14:textId="77777777">
        <w:trPr>
          <w:trHeight w:val="1849"/>
        </w:trPr>
        <w:tc>
          <w:tcPr>
            <w:tcW w:w="6012" w:type="dxa"/>
            <w:gridSpan w:val="2"/>
            <w:noWrap/>
            <w:hideMark/>
          </w:tcPr>
          <w:p>
            <w:pPr>
              <w:rPr>
                <w:lang w:val="en-US"/>
              </w:rPr>
            </w:pPr>
            <w:r w:rsidRPr="008F2240">
              <w:drawing>
                <wp:anchor distT="0" distB="0" distL="114300" distR="114300" simplePos="0" relativeHeight="251660288" behindDoc="0" locked="0" layoutInCell="1" allowOverlap="1" wp14:editId="1C4431A8" wp14:anchorId="195FBFE5">
                  <wp:simplePos x="0" y="0"/>
                  <wp:positionH relativeFrom="column">
                    <wp:posOffset>9525</wp:posOffset>
                  </wp:positionH>
                  <wp:positionV relativeFrom="paragraph">
                    <wp:posOffset>57150</wp:posOffset>
                  </wp:positionV>
                  <wp:extent cx="4486275" cy="1066800"/>
                  <wp:effectExtent l="0" t="0" r="9525" b="0"/>
                  <wp:wrapNone/>
                  <wp:docPr id="2115496061" name="Grafik 5" descr="Ein Bild, das Text, Screenshot, Software, Computersymbol enthält.&#10;&#10;Automatisch generierte Beschreibung">
                    <a:extLst xmlns:a="http://schemas.openxmlformats.org/drawingml/2006/main">
                      <a:ext uri="{FF2B5EF4-FFF2-40B4-BE49-F238E27FC236}">
                        <a16:creationId xmlns:a16="http://schemas.microsoft.com/office/drawing/2014/main" id="{92524656-0610-5212-BA75-06A7C3063F0B}"/>
                      </a:ext>
                    </a:extLst>
                  </wp:docPr>
                  <wp:cNvGraphicFramePr/>
                  <a:graphic xmlns:a="http://schemas.openxmlformats.org/drawingml/2006/main">
                    <a:graphicData uri="http://schemas.openxmlformats.org/drawingml/2006/picture">
                      <pic:pic xmlns:pic="http://schemas.openxmlformats.org/drawingml/2006/picture">
                        <pic:nvPicPr>
                          <pic:cNvPr id="2115496061" name="Grafik 5" descr="Ein Bild, das Text, Screenshot, Software, Computersymbol enthält.&#10;&#10;Automatisch generierte Beschreibung">
                            <a:extLst>
                              <a:ext uri="{FF2B5EF4-FFF2-40B4-BE49-F238E27FC236}">
                                <a16:creationId xmlns:a16="http://schemas.microsoft.com/office/drawing/2014/main" id="{92524656-0610-5212-BA75-06A7C3063F0B}"/>
                              </a:ext>
                            </a:extLst>
                          </pic:cNvPr>
                          <pic:cNvPicPr>
                            <a:picLocks noChangeAspect="1"/>
                          </pic:cNvPicPr>
                        </pic:nvPicPr>
                        <pic:blipFill rotWithShape="1">
                          <a:blip r:embed="rId4"/>
                          <a:srcRect l="11840" t="45408" r="24169" b="28104"/>
                          <a:stretch/>
                        </pic:blipFill>
                        <pic:spPr bwMode="auto">
                          <a:xfrm>
                            <a:off x="0" y="0"/>
                            <a:ext cx="4581525"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tblPr>
            <w:tblGrid>
              <w:gridCol w:w="1921"/>
            </w:tblGrid>
            <w:tr w:rsidRPr="008F2240" w:rsidR="008F2240" w14:paraId="6FD040BF" w14:textId="77777777">
              <w:trPr>
                <w:trHeight w:val="1849"/>
                <w:tblCellSpacing w:w="0" w:type="dxa"/>
              </w:trPr>
              <w:tc>
                <w:tcPr>
                  <w:tcW w:w="7080"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8F2240" w:rsidR="008F2240" w:rsidP="008F2240" w:rsidRDefault="008F2240" w14:paraId="00CA66A4" w14:textId="77777777">
                  <w:pPr>
                    <w:rPr>
                      <w:lang w:val="en-US"/>
                    </w:rPr>
                  </w:pPr>
                  <w:r w:rsidRPr="008F2240">
                    <w:rPr>
                      <w:lang w:val="en-US"/>
                    </w:rPr>
                    <w:t> </w:t>
                  </w:r>
                </w:p>
              </w:tc>
            </w:tr>
          </w:tbl>
          <w:p w:rsidRPr="008F2240" w:rsidR="008F2240" w:rsidRDefault="008F2240" w14:paraId="2350CECF" w14:textId="77777777">
            <w:pPr>
              <w:rPr>
                <w:lang w:val="en-US"/>
              </w:rPr>
            </w:pPr>
          </w:p>
        </w:tc>
        <w:tc>
          <w:tcPr>
            <w:tcW w:w="25653" w:type="dxa"/>
            <w:gridSpan w:val="2"/>
            <w:noWrap/>
            <w:hideMark/>
          </w:tcPr>
          <w:p>
            <w:pPr>
              <w:rPr>
                <w:lang w:val="en-US"/>
              </w:rPr>
            </w:pPr>
            <w:r w:rsidRPr="008F2240">
              <w:drawing>
                <wp:anchor distT="0" distB="0" distL="114300" distR="114300" simplePos="0" relativeHeight="251661312" behindDoc="0" locked="0" layoutInCell="1" allowOverlap="1" wp14:editId="329DB6D0" wp14:anchorId="09517B01">
                  <wp:simplePos x="0" y="0"/>
                  <wp:positionH relativeFrom="column">
                    <wp:posOffset>85725</wp:posOffset>
                  </wp:positionH>
                  <wp:positionV relativeFrom="paragraph">
                    <wp:posOffset>38100</wp:posOffset>
                  </wp:positionV>
                  <wp:extent cx="4991100" cy="1114425"/>
                  <wp:effectExtent l="0" t="0" r="0" b="0"/>
                  <wp:wrapNone/>
                  <wp:docPr id="1086954269" name="Grafik 4" descr="A screenshot of a computer&#10;&#10;Description automatically generated">
                    <a:extLst xmlns:a="http://schemas.openxmlformats.org/drawingml/2006/main">
                      <a:ext uri="{FF2B5EF4-FFF2-40B4-BE49-F238E27FC236}">
                        <a16:creationId xmlns:a16="http://schemas.microsoft.com/office/drawing/2014/main" id="{37548DAB-607A-426F-F2EE-3DFDAB96A4CB}"/>
                      </a:ext>
                    </a:extLst>
                  </wp:docPr>
                  <wp:cNvGraphicFramePr/>
                  <a:graphic xmlns:a="http://schemas.openxmlformats.org/drawingml/2006/main">
                    <a:graphicData uri="http://schemas.openxmlformats.org/drawingml/2006/picture">
                      <pic:pic xmlns:pic="http://schemas.openxmlformats.org/drawingml/2006/picture">
                        <pic:nvPicPr>
                          <pic:cNvPr id="6" name="Picture 5" descr="A screenshot of a computer&#10;&#10;Description automatically generated">
                            <a:extLst>
                              <a:ext uri="{FF2B5EF4-FFF2-40B4-BE49-F238E27FC236}">
                                <a16:creationId xmlns:a16="http://schemas.microsoft.com/office/drawing/2014/main" id="{37548DAB-607A-426F-F2EE-3DFDAB96A4CB}"/>
                              </a:ext>
                            </a:extLst>
                          </pic:cNvPr>
                          <pic:cNvPicPr>
                            <a:picLocks noChangeAspect="1"/>
                          </pic:cNvPicPr>
                        </pic:nvPicPr>
                        <pic:blipFill rotWithShape="1">
                          <a:blip r:embed="rId5"/>
                          <a:srcRect l="11973" t="45408" r="20975" b="28340"/>
                          <a:stretch/>
                        </pic:blipFill>
                        <pic:spPr bwMode="auto">
                          <a:xfrm>
                            <a:off x="0" y="0"/>
                            <a:ext cx="5052060" cy="1112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tblPr>
            <w:tblGrid>
              <w:gridCol w:w="6472"/>
            </w:tblGrid>
            <w:tr w:rsidRPr="008F2240" w:rsidR="008F2240" w14:paraId="74C0812E" w14:textId="77777777">
              <w:trPr>
                <w:trHeight w:val="1849"/>
                <w:tblCellSpacing w:w="0" w:type="dxa"/>
              </w:trPr>
              <w:tc>
                <w:tcPr>
                  <w:tcW w:w="8120"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8F2240" w:rsidR="008F2240" w:rsidP="008F2240" w:rsidRDefault="008F2240" w14:paraId="0E3079E2" w14:textId="77777777">
                  <w:pPr>
                    <w:rPr>
                      <w:lang w:val="en-US"/>
                    </w:rPr>
                  </w:pPr>
                  <w:r w:rsidRPr="008F2240">
                    <w:rPr>
                      <w:lang w:val="en-US"/>
                    </w:rPr>
                    <w:t> </w:t>
                  </w:r>
                </w:p>
              </w:tc>
            </w:tr>
          </w:tbl>
          <w:p w:rsidRPr="008F2240" w:rsidR="008F2240" w:rsidRDefault="008F2240" w14:paraId="1828B6C0" w14:textId="77777777">
            <w:pPr>
              <w:rPr>
                <w:lang w:val="en-US"/>
              </w:rPr>
            </w:pPr>
          </w:p>
        </w:tc>
        <w:tc>
          <w:tcPr>
            <w:tcW w:w="10" w:type="dxa"/>
            <w:hideMark/>
          </w:tcPr>
          <w:p w:rsidRPr="008F2240" w:rsidR="008F2240" w:rsidRDefault="008F2240" w14:paraId="6CF7B319" w14:textId="77777777">
            <w:pPr>
              <w:rPr>
                <w:lang w:val="en-US"/>
              </w:rPr>
            </w:pPr>
          </w:p>
        </w:tc>
      </w:tr>
      <w:tr w:rsidRPr="008F2240" w:rsidR="008F2240" w:rsidTr="008F2240" w14:paraId="3E85D131" w14:textId="77777777">
        <w:trPr>
          <w:trHeight w:val="315"/>
        </w:trPr>
        <w:tc>
          <w:tcPr>
            <w:tcW w:w="6012" w:type="dxa"/>
            <w:gridSpan w:val="2"/>
            <w:vMerge w:val="restart"/>
            <w:hideMark/>
          </w:tcPr>
          <w:p>
            <w:pPr>
              <w:rPr>
                <w:b/>
                <w:bCs/>
                <w:lang w:val="en-US"/>
              </w:rPr>
            </w:pPr>
            <w:r w:rsidRPr="008F2240">
              <w:rPr>
                <w:b/>
                <w:bCs/>
                <w:lang w:val="en-US"/>
              </w:rPr>
              <w:t xml:space="preserve">Der Dow Jones Sustainability Eurozone ohne Alkohol, Tabak, Glücksspiel, Rüstung und Schusswaffen sowie Erwachsenenunterhaltung bildet die besten 20 % der größten Nachhaltigkeitsunternehmen der Eurozone im Dow Jones Global Total Stock Market Index ab.</w:t>
            </w:r>
          </w:p>
        </w:tc>
        <w:tc>
          <w:tcPr>
            <w:tcW w:w="25653" w:type="dxa"/>
            <w:gridSpan w:val="2"/>
            <w:vMerge w:val="restart"/>
            <w:hideMark/>
          </w:tcPr>
          <w:p>
            <w:pPr>
              <w:rPr>
                <w:b/>
                <w:bCs/>
                <w:lang w:val="en-US"/>
              </w:rPr>
            </w:pPr>
            <w:r w:rsidRPr="008F2240">
              <w:rPr>
                <w:b/>
                <w:bCs/>
                <w:lang w:val="en-US"/>
              </w:rPr>
              <w:t xml:space="preserve">Der HANetf Solar Energy UCITS ETF versucht, den EQM Global Solar Energy Index abzubilden. Der EQM Global Solar Energy Index bildet Unternehmen aus der Solarenergiebranche ab.</w:t>
            </w:r>
          </w:p>
        </w:tc>
        <w:tc>
          <w:tcPr>
            <w:tcW w:w="10" w:type="dxa"/>
            <w:hideMark/>
          </w:tcPr>
          <w:p w:rsidRPr="008F2240" w:rsidR="008F2240" w:rsidRDefault="008F2240" w14:paraId="26D7C3F8" w14:textId="77777777">
            <w:pPr>
              <w:rPr>
                <w:lang w:val="en-US"/>
              </w:rPr>
            </w:pPr>
          </w:p>
        </w:tc>
      </w:tr>
      <w:tr w:rsidRPr="008F2240" w:rsidR="008F2240" w:rsidTr="008F2240" w14:paraId="6664D6D9" w14:textId="77777777">
        <w:trPr>
          <w:trHeight w:val="315"/>
        </w:trPr>
        <w:tc>
          <w:tcPr>
            <w:tcW w:w="6012" w:type="dxa"/>
            <w:gridSpan w:val="2"/>
            <w:vMerge/>
            <w:hideMark/>
          </w:tcPr>
          <w:p w:rsidRPr="008F2240" w:rsidR="008F2240" w:rsidRDefault="008F2240" w14:paraId="2EB7254F" w14:textId="77777777">
            <w:pPr>
              <w:rPr>
                <w:b/>
                <w:bCs/>
                <w:lang w:val="en-US"/>
              </w:rPr>
            </w:pPr>
          </w:p>
        </w:tc>
        <w:tc>
          <w:tcPr>
            <w:tcW w:w="25653" w:type="dxa"/>
            <w:gridSpan w:val="2"/>
            <w:vMerge/>
            <w:hideMark/>
          </w:tcPr>
          <w:p w:rsidRPr="008F2240" w:rsidR="008F2240" w:rsidRDefault="008F2240" w14:paraId="431F1FBD" w14:textId="77777777">
            <w:pPr>
              <w:rPr>
                <w:b/>
                <w:bCs/>
                <w:lang w:val="en-US"/>
              </w:rPr>
            </w:pPr>
          </w:p>
        </w:tc>
        <w:tc>
          <w:tcPr>
            <w:tcW w:w="10" w:type="dxa"/>
            <w:noWrap/>
            <w:hideMark/>
          </w:tcPr>
          <w:p w:rsidRPr="008F2240" w:rsidR="008F2240" w:rsidP="008F2240" w:rsidRDefault="008F2240" w14:paraId="1C117FE9" w14:textId="77777777">
            <w:pPr>
              <w:rPr>
                <w:b/>
                <w:bCs/>
                <w:lang w:val="en-US"/>
              </w:rPr>
            </w:pPr>
          </w:p>
        </w:tc>
      </w:tr>
      <w:tr w:rsidRPr="008F2240" w:rsidR="008F2240" w:rsidTr="008F2240" w14:paraId="5FDD6B03" w14:textId="77777777">
        <w:trPr>
          <w:trHeight w:val="315"/>
        </w:trPr>
        <w:tc>
          <w:tcPr>
            <w:tcW w:w="6012" w:type="dxa"/>
            <w:gridSpan w:val="2"/>
            <w:vMerge/>
            <w:hideMark/>
          </w:tcPr>
          <w:p w:rsidRPr="008F2240" w:rsidR="008F2240" w:rsidRDefault="008F2240" w14:paraId="45932E6E" w14:textId="77777777">
            <w:pPr>
              <w:rPr>
                <w:b/>
                <w:bCs/>
                <w:lang w:val="en-US"/>
              </w:rPr>
            </w:pPr>
          </w:p>
        </w:tc>
        <w:tc>
          <w:tcPr>
            <w:tcW w:w="25653" w:type="dxa"/>
            <w:gridSpan w:val="2"/>
            <w:vMerge/>
            <w:hideMark/>
          </w:tcPr>
          <w:p w:rsidRPr="008F2240" w:rsidR="008F2240" w:rsidRDefault="008F2240" w14:paraId="3A690582" w14:textId="77777777">
            <w:pPr>
              <w:rPr>
                <w:b/>
                <w:bCs/>
                <w:lang w:val="en-US"/>
              </w:rPr>
            </w:pPr>
          </w:p>
        </w:tc>
        <w:tc>
          <w:tcPr>
            <w:tcW w:w="10" w:type="dxa"/>
            <w:noWrap/>
            <w:hideMark/>
          </w:tcPr>
          <w:p w:rsidRPr="008F2240" w:rsidR="008F2240" w:rsidRDefault="008F2240" w14:paraId="6A051401" w14:textId="77777777">
            <w:pPr>
              <w:rPr>
                <w:lang w:val="en-US"/>
              </w:rPr>
            </w:pPr>
          </w:p>
        </w:tc>
      </w:tr>
      <w:tr w:rsidRPr="008F2240" w:rsidR="008F2240" w:rsidTr="008F2240" w14:paraId="545DB271" w14:textId="77777777">
        <w:trPr>
          <w:trHeight w:val="315"/>
        </w:trPr>
        <w:tc>
          <w:tcPr>
            <w:tcW w:w="6012" w:type="dxa"/>
            <w:gridSpan w:val="2"/>
            <w:vMerge/>
            <w:hideMark/>
          </w:tcPr>
          <w:p w:rsidRPr="008F2240" w:rsidR="008F2240" w:rsidRDefault="008F2240" w14:paraId="4C5F4D92" w14:textId="77777777">
            <w:pPr>
              <w:rPr>
                <w:b/>
                <w:bCs/>
                <w:lang w:val="en-US"/>
              </w:rPr>
            </w:pPr>
          </w:p>
        </w:tc>
        <w:tc>
          <w:tcPr>
            <w:tcW w:w="25653" w:type="dxa"/>
            <w:gridSpan w:val="2"/>
            <w:vMerge/>
            <w:hideMark/>
          </w:tcPr>
          <w:p w:rsidRPr="008F2240" w:rsidR="008F2240" w:rsidRDefault="008F2240" w14:paraId="7F2FC110" w14:textId="77777777">
            <w:pPr>
              <w:rPr>
                <w:b/>
                <w:bCs/>
                <w:lang w:val="en-US"/>
              </w:rPr>
            </w:pPr>
          </w:p>
        </w:tc>
        <w:tc>
          <w:tcPr>
            <w:tcW w:w="10" w:type="dxa"/>
            <w:noWrap/>
            <w:hideMark/>
          </w:tcPr>
          <w:p w:rsidRPr="008F2240" w:rsidR="008F2240" w:rsidRDefault="008F2240" w14:paraId="660E79A6" w14:textId="77777777">
            <w:pPr>
              <w:rPr>
                <w:lang w:val="en-US"/>
              </w:rPr>
            </w:pPr>
          </w:p>
        </w:tc>
      </w:tr>
      <w:tr w:rsidRPr="008F2240" w:rsidR="008F2240" w:rsidTr="008F2240" w14:paraId="450D3324" w14:textId="77777777">
        <w:trPr>
          <w:trHeight w:val="315"/>
        </w:trPr>
        <w:tc>
          <w:tcPr>
            <w:tcW w:w="6012" w:type="dxa"/>
            <w:gridSpan w:val="2"/>
            <w:vMerge/>
            <w:hideMark/>
          </w:tcPr>
          <w:p w:rsidRPr="008F2240" w:rsidR="008F2240" w:rsidRDefault="008F2240" w14:paraId="29936A6D" w14:textId="77777777">
            <w:pPr>
              <w:rPr>
                <w:b/>
                <w:bCs/>
                <w:lang w:val="en-US"/>
              </w:rPr>
            </w:pPr>
          </w:p>
        </w:tc>
        <w:tc>
          <w:tcPr>
            <w:tcW w:w="25653" w:type="dxa"/>
            <w:gridSpan w:val="2"/>
            <w:vMerge/>
            <w:hideMark/>
          </w:tcPr>
          <w:p w:rsidRPr="008F2240" w:rsidR="008F2240" w:rsidRDefault="008F2240" w14:paraId="1766951E" w14:textId="77777777">
            <w:pPr>
              <w:rPr>
                <w:b/>
                <w:bCs/>
                <w:lang w:val="en-US"/>
              </w:rPr>
            </w:pPr>
          </w:p>
        </w:tc>
        <w:tc>
          <w:tcPr>
            <w:tcW w:w="10" w:type="dxa"/>
            <w:noWrap/>
            <w:hideMark/>
          </w:tcPr>
          <w:p w:rsidRPr="008F2240" w:rsidR="008F2240" w:rsidRDefault="008F2240" w14:paraId="5573583E" w14:textId="77777777">
            <w:pPr>
              <w:rPr>
                <w:lang w:val="en-US"/>
              </w:rPr>
            </w:pPr>
          </w:p>
        </w:tc>
      </w:tr>
      <w:tr w:rsidRPr="008F2240" w:rsidR="008F2240" w:rsidTr="008F2240" w14:paraId="1791A1CD" w14:textId="77777777">
        <w:trPr>
          <w:trHeight w:val="315"/>
        </w:trPr>
        <w:tc>
          <w:tcPr>
            <w:tcW w:w="6012" w:type="dxa"/>
            <w:gridSpan w:val="2"/>
            <w:vMerge/>
            <w:hideMark/>
          </w:tcPr>
          <w:p w:rsidRPr="008F2240" w:rsidR="008F2240" w:rsidRDefault="008F2240" w14:paraId="266FC625" w14:textId="77777777">
            <w:pPr>
              <w:rPr>
                <w:b/>
                <w:bCs/>
                <w:lang w:val="en-US"/>
              </w:rPr>
            </w:pPr>
          </w:p>
        </w:tc>
        <w:tc>
          <w:tcPr>
            <w:tcW w:w="25653" w:type="dxa"/>
            <w:gridSpan w:val="2"/>
            <w:vMerge/>
            <w:hideMark/>
          </w:tcPr>
          <w:p w:rsidRPr="008F2240" w:rsidR="008F2240" w:rsidRDefault="008F2240" w14:paraId="291139A8" w14:textId="77777777">
            <w:pPr>
              <w:rPr>
                <w:b/>
                <w:bCs/>
                <w:lang w:val="en-US"/>
              </w:rPr>
            </w:pPr>
          </w:p>
        </w:tc>
        <w:tc>
          <w:tcPr>
            <w:tcW w:w="10" w:type="dxa"/>
            <w:noWrap/>
            <w:hideMark/>
          </w:tcPr>
          <w:p w:rsidRPr="008F2240" w:rsidR="008F2240" w:rsidRDefault="008F2240" w14:paraId="14DDAF0F" w14:textId="77777777">
            <w:pPr>
              <w:rPr>
                <w:lang w:val="en-US"/>
              </w:rPr>
            </w:pPr>
          </w:p>
        </w:tc>
      </w:tr>
      <w:tr w:rsidRPr="008F2240" w:rsidR="008F2240" w:rsidTr="008F2240" w14:paraId="78DDF573" w14:textId="77777777">
        <w:trPr>
          <w:trHeight w:val="315"/>
        </w:trPr>
        <w:tc>
          <w:tcPr>
            <w:tcW w:w="6012" w:type="dxa"/>
            <w:gridSpan w:val="2"/>
            <w:vMerge/>
            <w:hideMark/>
          </w:tcPr>
          <w:p w:rsidRPr="008F2240" w:rsidR="008F2240" w:rsidRDefault="008F2240" w14:paraId="48F8F6A9" w14:textId="77777777">
            <w:pPr>
              <w:rPr>
                <w:b/>
                <w:bCs/>
                <w:lang w:val="en-US"/>
              </w:rPr>
            </w:pPr>
          </w:p>
        </w:tc>
        <w:tc>
          <w:tcPr>
            <w:tcW w:w="25653" w:type="dxa"/>
            <w:gridSpan w:val="2"/>
            <w:vMerge/>
            <w:hideMark/>
          </w:tcPr>
          <w:p w:rsidRPr="008F2240" w:rsidR="008F2240" w:rsidRDefault="008F2240" w14:paraId="121B8C49" w14:textId="77777777">
            <w:pPr>
              <w:rPr>
                <w:b/>
                <w:bCs/>
                <w:lang w:val="en-US"/>
              </w:rPr>
            </w:pPr>
          </w:p>
        </w:tc>
        <w:tc>
          <w:tcPr>
            <w:tcW w:w="10" w:type="dxa"/>
            <w:noWrap/>
            <w:hideMark/>
          </w:tcPr>
          <w:p w:rsidRPr="008F2240" w:rsidR="008F2240" w:rsidRDefault="008F2240" w14:paraId="45E18CA8" w14:textId="77777777">
            <w:pPr>
              <w:rPr>
                <w:lang w:val="en-US"/>
              </w:rPr>
            </w:pPr>
          </w:p>
        </w:tc>
      </w:tr>
      <w:tr w:rsidRPr="008F2240" w:rsidR="008F2240" w:rsidTr="008F2240" w14:paraId="0F8296ED" w14:textId="77777777">
        <w:trPr>
          <w:trHeight w:val="315"/>
        </w:trPr>
        <w:tc>
          <w:tcPr>
            <w:tcW w:w="6012" w:type="dxa"/>
            <w:gridSpan w:val="2"/>
            <w:noWrap/>
            <w:hideMark/>
          </w:tcPr>
          <w:p>
            <w:r w:rsidRPr="008F2240">
              <w:t xml:space="preserve">Top-Holdings</w:t>
            </w:r>
          </w:p>
        </w:tc>
        <w:tc>
          <w:tcPr>
            <w:tcW w:w="25653" w:type="dxa"/>
            <w:gridSpan w:val="2"/>
            <w:noWrap/>
            <w:hideMark/>
          </w:tcPr>
          <w:p>
            <w:r w:rsidRPr="008F2240">
              <w:t xml:space="preserve">Top-Holdings</w:t>
            </w:r>
          </w:p>
        </w:tc>
        <w:tc>
          <w:tcPr>
            <w:tcW w:w="10" w:type="dxa"/>
            <w:hideMark/>
          </w:tcPr>
          <w:p w:rsidRPr="008F2240" w:rsidR="008F2240" w:rsidRDefault="008F2240" w14:paraId="2F81540F" w14:textId="77777777"/>
        </w:tc>
      </w:tr>
      <w:tr w:rsidRPr="008F2240" w:rsidR="008F2240" w:rsidTr="008F2240" w14:paraId="6DA0E561" w14:textId="77777777">
        <w:trPr>
          <w:trHeight w:val="315"/>
        </w:trPr>
        <w:tc>
          <w:tcPr>
            <w:tcW w:w="5026" w:type="dxa"/>
            <w:noWrap/>
            <w:hideMark/>
          </w:tcPr>
          <w:p>
            <w:pPr>
              <w:rPr>
                <w:u w:val="single"/>
              </w:rPr>
            </w:pPr>
            <w:hyperlink w:history="1" r:id="rId6">
              <w:r w:rsidRPr="008F2240">
                <w:rPr>
                  <w:rStyle w:val="Hyperlink"/>
                </w:rPr>
                <w:t xml:space="preserve">https://www.asml.com/en </w:t>
              </w:r>
            </w:hyperlink>
          </w:p>
        </w:tc>
        <w:tc>
          <w:tcPr>
            <w:tcW w:w="986" w:type="dxa"/>
            <w:noWrap/>
            <w:hideMark/>
          </w:tcPr>
          <w:p>
            <w:r w:rsidRPr="008F2240">
              <w:t xml:space="preserve">12.90%</w:t>
            </w:r>
          </w:p>
        </w:tc>
        <w:tc>
          <w:tcPr>
            <w:tcW w:w="25123" w:type="dxa"/>
            <w:noWrap/>
            <w:hideMark/>
          </w:tcPr>
          <w:p>
            <w:pPr>
              <w:rPr>
                <w:u w:val="single"/>
              </w:rPr>
            </w:pPr>
            <w:hyperlink w:history="1" r:id="rId7">
              <w:r w:rsidRPr="008F2240">
                <w:rPr>
                  <w:rStyle w:val="Hyperlink"/>
                </w:rPr>
                <w:t xml:space="preserve">https://www.canadiansolar.com/ </w:t>
              </w:r>
            </w:hyperlink>
          </w:p>
        </w:tc>
        <w:tc>
          <w:tcPr>
            <w:tcW w:w="530" w:type="dxa"/>
            <w:noWrap/>
            <w:hideMark/>
          </w:tcPr>
          <w:p>
            <w:r w:rsidRPr="008F2240">
              <w:t xml:space="preserve">3.57%</w:t>
            </w:r>
          </w:p>
        </w:tc>
        <w:tc>
          <w:tcPr>
            <w:tcW w:w="10" w:type="dxa"/>
            <w:hideMark/>
          </w:tcPr>
          <w:p w:rsidRPr="008F2240" w:rsidR="008F2240" w:rsidRDefault="008F2240" w14:paraId="45C33A50" w14:textId="77777777"/>
        </w:tc>
      </w:tr>
      <w:tr w:rsidRPr="008F2240" w:rsidR="008F2240" w:rsidTr="008F2240" w14:paraId="1F9A06EA" w14:textId="77777777">
        <w:trPr>
          <w:trHeight w:val="315"/>
        </w:trPr>
        <w:tc>
          <w:tcPr>
            <w:tcW w:w="5026" w:type="dxa"/>
            <w:noWrap/>
            <w:hideMark/>
          </w:tcPr>
          <w:p>
            <w:pPr>
              <w:rPr>
                <w:u w:val="single"/>
              </w:rPr>
            </w:pPr>
            <w:hyperlink w:history="1" r:id="rId8">
              <w:r w:rsidRPr="008F2240">
                <w:rPr>
                  <w:rStyle w:val="Hyperlink"/>
                </w:rPr>
                <w:t xml:space="preserve">https://www.sap.com/index.html</w:t>
              </w:r>
            </w:hyperlink>
          </w:p>
        </w:tc>
        <w:tc>
          <w:tcPr>
            <w:tcW w:w="986" w:type="dxa"/>
            <w:noWrap/>
            <w:hideMark/>
          </w:tcPr>
          <w:p>
            <w:r w:rsidRPr="008F2240">
              <w:t xml:space="preserve">6.46%</w:t>
            </w:r>
          </w:p>
        </w:tc>
        <w:tc>
          <w:tcPr>
            <w:tcW w:w="25123" w:type="dxa"/>
            <w:noWrap/>
            <w:hideMark/>
          </w:tcPr>
          <w:p>
            <w:pPr>
              <w:rPr>
                <w:u w:val="single"/>
              </w:rPr>
            </w:pPr>
            <w:hyperlink w:history="1" r:id="rId9">
              <w:r w:rsidRPr="008F2240">
                <w:rPr>
                  <w:rStyle w:val="Hyperlink"/>
                </w:rPr>
                <w:t xml:space="preserve">https://www.glassglobal.com/profile/flat_glass_group_coltd-72510.html </w:t>
              </w:r>
            </w:hyperlink>
          </w:p>
        </w:tc>
        <w:tc>
          <w:tcPr>
            <w:tcW w:w="530" w:type="dxa"/>
            <w:noWrap/>
            <w:hideMark/>
          </w:tcPr>
          <w:p>
            <w:r w:rsidRPr="008F2240">
              <w:t xml:space="preserve">3.44%</w:t>
            </w:r>
          </w:p>
        </w:tc>
        <w:tc>
          <w:tcPr>
            <w:tcW w:w="10" w:type="dxa"/>
            <w:hideMark/>
          </w:tcPr>
          <w:p w:rsidRPr="008F2240" w:rsidR="008F2240" w:rsidRDefault="008F2240" w14:paraId="32E53E76" w14:textId="77777777"/>
        </w:tc>
      </w:tr>
      <w:tr w:rsidRPr="008F2240" w:rsidR="008F2240" w:rsidTr="008F2240" w14:paraId="50B8C80F" w14:textId="77777777">
        <w:trPr>
          <w:trHeight w:val="315"/>
        </w:trPr>
        <w:tc>
          <w:tcPr>
            <w:tcW w:w="5026" w:type="dxa"/>
            <w:noWrap/>
            <w:hideMark/>
          </w:tcPr>
          <w:p>
            <w:pPr>
              <w:rPr>
                <w:u w:val="single"/>
              </w:rPr>
            </w:pPr>
            <w:hyperlink w:history="1" r:id="rId10">
              <w:r w:rsidRPr="008F2240">
                <w:rPr>
                  <w:rStyle w:val="Hyperlink"/>
                </w:rPr>
                <w:t xml:space="preserve">https://totalenergies.com/</w:t>
              </w:r>
            </w:hyperlink>
          </w:p>
        </w:tc>
        <w:tc>
          <w:tcPr>
            <w:tcW w:w="986" w:type="dxa"/>
            <w:noWrap/>
            <w:hideMark/>
          </w:tcPr>
          <w:p>
            <w:r w:rsidRPr="008F2240">
              <w:t xml:space="preserve">5.82%</w:t>
            </w:r>
          </w:p>
        </w:tc>
        <w:tc>
          <w:tcPr>
            <w:tcW w:w="25123" w:type="dxa"/>
            <w:noWrap/>
            <w:hideMark/>
          </w:tcPr>
          <w:p>
            <w:pPr>
              <w:rPr>
                <w:u w:val="single"/>
              </w:rPr>
            </w:pPr>
            <w:hyperlink w:history="1" r:id="rId11">
              <w:r w:rsidRPr="008F2240">
                <w:rPr>
                  <w:rStyle w:val="Hyperlink"/>
                </w:rPr>
                <w:t xml:space="preserve">https://ir.arraytechinc.com/ </w:t>
              </w:r>
            </w:hyperlink>
          </w:p>
        </w:tc>
        <w:tc>
          <w:tcPr>
            <w:tcW w:w="530" w:type="dxa"/>
            <w:noWrap/>
            <w:hideMark/>
          </w:tcPr>
          <w:p>
            <w:r w:rsidRPr="008F2240">
              <w:t xml:space="preserve">3.39%</w:t>
            </w:r>
          </w:p>
        </w:tc>
        <w:tc>
          <w:tcPr>
            <w:tcW w:w="10" w:type="dxa"/>
            <w:hideMark/>
          </w:tcPr>
          <w:p w:rsidRPr="008F2240" w:rsidR="008F2240" w:rsidRDefault="008F2240" w14:paraId="3A89BA31" w14:textId="77777777"/>
        </w:tc>
      </w:tr>
      <w:tr w:rsidRPr="008F2240" w:rsidR="008F2240" w:rsidTr="008F2240" w14:paraId="5ED56C1D" w14:textId="77777777">
        <w:trPr>
          <w:trHeight w:val="315"/>
        </w:trPr>
        <w:tc>
          <w:tcPr>
            <w:tcW w:w="5026" w:type="dxa"/>
            <w:noWrap/>
            <w:hideMark/>
          </w:tcPr>
          <w:p>
            <w:pPr>
              <w:rPr>
                <w:u w:val="single"/>
              </w:rPr>
            </w:pPr>
            <w:hyperlink w:history="1" r:id="rId12">
              <w:r w:rsidRPr="008F2240">
                <w:rPr>
                  <w:rStyle w:val="Hyperlink"/>
                </w:rPr>
                <w:t xml:space="preserve">https://www.siemens.com/global/en.html </w:t>
              </w:r>
            </w:hyperlink>
          </w:p>
        </w:tc>
        <w:tc>
          <w:tcPr>
            <w:tcW w:w="986" w:type="dxa"/>
            <w:noWrap/>
            <w:hideMark/>
          </w:tcPr>
          <w:p>
            <w:r w:rsidRPr="008F2240">
              <w:t xml:space="preserve">5.42%</w:t>
            </w:r>
          </w:p>
        </w:tc>
        <w:tc>
          <w:tcPr>
            <w:tcW w:w="25123" w:type="dxa"/>
            <w:noWrap/>
            <w:hideMark/>
          </w:tcPr>
          <w:p>
            <w:pPr>
              <w:rPr>
                <w:u w:val="single"/>
              </w:rPr>
            </w:pPr>
            <w:hyperlink w:history="1" r:id="rId13">
              <w:r w:rsidRPr="008F2240">
                <w:rPr>
                  <w:rStyle w:val="Hyperlink"/>
                </w:rPr>
                <w:t xml:space="preserve">https://www.sunnova.com/ </w:t>
              </w:r>
            </w:hyperlink>
          </w:p>
        </w:tc>
        <w:tc>
          <w:tcPr>
            <w:tcW w:w="530" w:type="dxa"/>
            <w:noWrap/>
            <w:hideMark/>
          </w:tcPr>
          <w:p>
            <w:r w:rsidRPr="008F2240">
              <w:t xml:space="preserve">3.27%</w:t>
            </w:r>
          </w:p>
        </w:tc>
        <w:tc>
          <w:tcPr>
            <w:tcW w:w="10" w:type="dxa"/>
            <w:hideMark/>
          </w:tcPr>
          <w:p w:rsidRPr="008F2240" w:rsidR="008F2240" w:rsidRDefault="008F2240" w14:paraId="151EEF77" w14:textId="77777777"/>
        </w:tc>
      </w:tr>
      <w:tr w:rsidRPr="008F2240" w:rsidR="008F2240" w:rsidTr="008F2240" w14:paraId="74F56EBF" w14:textId="77777777">
        <w:trPr>
          <w:trHeight w:val="315"/>
        </w:trPr>
        <w:tc>
          <w:tcPr>
            <w:tcW w:w="5026" w:type="dxa"/>
            <w:noWrap/>
            <w:hideMark/>
          </w:tcPr>
          <w:p>
            <w:pPr>
              <w:rPr>
                <w:u w:val="single"/>
              </w:rPr>
            </w:pPr>
            <w:hyperlink w:history="1" r:id="rId14">
              <w:r w:rsidRPr="008F2240">
                <w:rPr>
                  <w:rStyle w:val="Hyperlink"/>
                </w:rPr>
                <w:t xml:space="preserve">https://www.sanofi.com/en </w:t>
              </w:r>
            </w:hyperlink>
          </w:p>
        </w:tc>
        <w:tc>
          <w:tcPr>
            <w:tcW w:w="986" w:type="dxa"/>
            <w:noWrap/>
            <w:hideMark/>
          </w:tcPr>
          <w:p>
            <w:r w:rsidRPr="008F2240">
              <w:t xml:space="preserve">5.38%</w:t>
            </w:r>
          </w:p>
        </w:tc>
        <w:tc>
          <w:tcPr>
            <w:tcW w:w="25123" w:type="dxa"/>
            <w:noWrap/>
            <w:hideMark/>
          </w:tcPr>
          <w:p>
            <w:pPr>
              <w:rPr>
                <w:u w:val="single"/>
              </w:rPr>
            </w:pPr>
            <w:hyperlink w:history="1" r:id="rId15">
              <w:r w:rsidRPr="008F2240">
                <w:rPr>
                  <w:rStyle w:val="Hyperlink"/>
                </w:rPr>
                <w:t xml:space="preserve">https://www.shoals.com/ </w:t>
              </w:r>
            </w:hyperlink>
          </w:p>
        </w:tc>
        <w:tc>
          <w:tcPr>
            <w:tcW w:w="530" w:type="dxa"/>
            <w:noWrap/>
            <w:hideMark/>
          </w:tcPr>
          <w:p>
            <w:r w:rsidRPr="008F2240">
              <w:t xml:space="preserve">3.24%</w:t>
            </w:r>
          </w:p>
        </w:tc>
        <w:tc>
          <w:tcPr>
            <w:tcW w:w="10" w:type="dxa"/>
            <w:hideMark/>
          </w:tcPr>
          <w:p w:rsidRPr="008F2240" w:rsidR="008F2240" w:rsidRDefault="008F2240" w14:paraId="11BC0416" w14:textId="77777777"/>
        </w:tc>
      </w:tr>
      <w:tr w:rsidRPr="008F2240" w:rsidR="008F2240" w:rsidTr="008F2240" w14:paraId="5F7A5C9A" w14:textId="77777777">
        <w:trPr>
          <w:trHeight w:val="315"/>
        </w:trPr>
        <w:tc>
          <w:tcPr>
            <w:tcW w:w="5026" w:type="dxa"/>
            <w:noWrap/>
            <w:hideMark/>
          </w:tcPr>
          <w:p>
            <w:pPr>
              <w:rPr>
                <w:u w:val="single"/>
              </w:rPr>
            </w:pPr>
            <w:hyperlink w:history="1" r:id="rId16">
              <w:r w:rsidRPr="008F2240">
                <w:rPr>
                  <w:rStyle w:val="Hyperlink"/>
                </w:rPr>
                <w:t xml:space="preserve">https://www.se.com/ww/en/ </w:t>
              </w:r>
            </w:hyperlink>
          </w:p>
        </w:tc>
        <w:tc>
          <w:tcPr>
            <w:tcW w:w="986" w:type="dxa"/>
            <w:noWrap/>
            <w:hideMark/>
          </w:tcPr>
          <w:p>
            <w:r w:rsidRPr="008F2240">
              <w:t xml:space="preserve">4.45%</w:t>
            </w:r>
          </w:p>
        </w:tc>
        <w:tc>
          <w:tcPr>
            <w:tcW w:w="25123" w:type="dxa"/>
            <w:noWrap/>
            <w:hideMark/>
          </w:tcPr>
          <w:p>
            <w:pPr>
              <w:rPr>
                <w:u w:val="single"/>
              </w:rPr>
            </w:pPr>
            <w:hyperlink w:history="1" r:id="rId17">
              <w:r w:rsidRPr="008F2240">
                <w:rPr>
                  <w:rStyle w:val="Hyperlink"/>
                </w:rPr>
                <w:t xml:space="preserve">https://ir.zscaler.com/news-releases/news-release-details/maxeon-solar-technologies-standardizes-zscaler-zero-trust?_bt=662675997029&amp;_bk=&amp;_bm=&amp;_bn=g&amp;_bg=152850254360&amp;utm_source=google&amp;utm_medium=cpc&amp;utm_campaign=google-ads-na&amp;gclid=EAIaIQobChMIl6a4hunRgAMVIZRoCR0RaAGiEAAYASAAEgKU5_D_BwE </w:t>
              </w:r>
            </w:hyperlink>
          </w:p>
        </w:tc>
        <w:tc>
          <w:tcPr>
            <w:tcW w:w="530" w:type="dxa"/>
            <w:noWrap/>
            <w:hideMark/>
          </w:tcPr>
          <w:p>
            <w:r w:rsidRPr="008F2240">
              <w:t xml:space="preserve">3.17%</w:t>
            </w:r>
          </w:p>
        </w:tc>
        <w:tc>
          <w:tcPr>
            <w:tcW w:w="10" w:type="dxa"/>
            <w:hideMark/>
          </w:tcPr>
          <w:p w:rsidRPr="008F2240" w:rsidR="008F2240" w:rsidRDefault="008F2240" w14:paraId="0B15D433" w14:textId="77777777"/>
        </w:tc>
      </w:tr>
      <w:tr w:rsidRPr="008F2240" w:rsidR="008F2240" w:rsidTr="008F2240" w14:paraId="5DFE25C8" w14:textId="77777777">
        <w:trPr>
          <w:trHeight w:val="315"/>
        </w:trPr>
        <w:tc>
          <w:tcPr>
            <w:tcW w:w="5026" w:type="dxa"/>
            <w:noWrap/>
            <w:hideMark/>
          </w:tcPr>
          <w:p>
            <w:pPr>
              <w:rPr>
                <w:u w:val="single"/>
              </w:rPr>
            </w:pPr>
            <w:hyperlink w:history="1" r:id="rId18">
              <w:r w:rsidRPr="008F2240">
                <w:rPr>
                  <w:rStyle w:val="Hyperlink"/>
                </w:rPr>
                <w:t xml:space="preserve">https://www.airliquide.com/ </w:t>
              </w:r>
            </w:hyperlink>
          </w:p>
        </w:tc>
        <w:tc>
          <w:tcPr>
            <w:tcW w:w="986" w:type="dxa"/>
            <w:noWrap/>
            <w:hideMark/>
          </w:tcPr>
          <w:p>
            <w:r w:rsidRPr="008F2240">
              <w:t xml:space="preserve">4.09%</w:t>
            </w:r>
          </w:p>
        </w:tc>
        <w:tc>
          <w:tcPr>
            <w:tcW w:w="25123" w:type="dxa"/>
            <w:noWrap/>
            <w:hideMark/>
          </w:tcPr>
          <w:p>
            <w:pPr>
              <w:rPr>
                <w:u w:val="single"/>
              </w:rPr>
            </w:pPr>
            <w:hyperlink w:history="1" r:id="rId19">
              <w:r w:rsidRPr="008F2240">
                <w:rPr>
                  <w:rStyle w:val="Hyperlink"/>
                </w:rPr>
                <w:t xml:space="preserve">https://www.shinsungeng.com/eng </w:t>
              </w:r>
            </w:hyperlink>
          </w:p>
        </w:tc>
        <w:tc>
          <w:tcPr>
            <w:tcW w:w="530" w:type="dxa"/>
            <w:noWrap/>
            <w:hideMark/>
          </w:tcPr>
          <w:p>
            <w:r w:rsidRPr="008F2240">
              <w:t xml:space="preserve">3.17%</w:t>
            </w:r>
          </w:p>
        </w:tc>
        <w:tc>
          <w:tcPr>
            <w:tcW w:w="10" w:type="dxa"/>
            <w:hideMark/>
          </w:tcPr>
          <w:p w:rsidRPr="008F2240" w:rsidR="008F2240" w:rsidRDefault="008F2240" w14:paraId="185A5F13" w14:textId="77777777"/>
        </w:tc>
      </w:tr>
      <w:tr w:rsidRPr="008F2240" w:rsidR="008F2240" w:rsidTr="008F2240" w14:paraId="50C2C6E6" w14:textId="77777777">
        <w:trPr>
          <w:trHeight w:val="315"/>
        </w:trPr>
        <w:tc>
          <w:tcPr>
            <w:tcW w:w="5026" w:type="dxa"/>
            <w:noWrap/>
            <w:hideMark/>
          </w:tcPr>
          <w:p>
            <w:pPr>
              <w:rPr>
                <w:u w:val="single"/>
              </w:rPr>
            </w:pPr>
            <w:hyperlink w:history="1" r:id="rId20">
              <w:r w:rsidRPr="008F2240">
                <w:rPr>
                  <w:rStyle w:val="Hyperlink"/>
                </w:rPr>
                <w:t xml:space="preserve">https://www.prosus.com/ </w:t>
              </w:r>
            </w:hyperlink>
          </w:p>
        </w:tc>
        <w:tc>
          <w:tcPr>
            <w:tcW w:w="986" w:type="dxa"/>
            <w:noWrap/>
            <w:hideMark/>
          </w:tcPr>
          <w:p>
            <w:r w:rsidRPr="008F2240">
              <w:t xml:space="preserve">3.68%</w:t>
            </w:r>
          </w:p>
        </w:tc>
        <w:tc>
          <w:tcPr>
            <w:tcW w:w="25123" w:type="dxa"/>
            <w:noWrap/>
            <w:hideMark/>
          </w:tcPr>
          <w:p>
            <w:pPr>
              <w:rPr>
                <w:u w:val="single"/>
              </w:rPr>
            </w:pPr>
            <w:hyperlink w:history="1" r:id="rId21">
              <w:r w:rsidRPr="008F2240">
                <w:rPr>
                  <w:rStyle w:val="Hyperlink"/>
                </w:rPr>
                <w:t xml:space="preserve">https://www.altuspower.com/ </w:t>
              </w:r>
            </w:hyperlink>
          </w:p>
        </w:tc>
        <w:tc>
          <w:tcPr>
            <w:tcW w:w="530" w:type="dxa"/>
            <w:noWrap/>
            <w:hideMark/>
          </w:tcPr>
          <w:p>
            <w:r w:rsidRPr="008F2240">
              <w:t xml:space="preserve">3.14%</w:t>
            </w:r>
          </w:p>
        </w:tc>
        <w:tc>
          <w:tcPr>
            <w:tcW w:w="10" w:type="dxa"/>
            <w:hideMark/>
          </w:tcPr>
          <w:p w:rsidRPr="008F2240" w:rsidR="008F2240" w:rsidRDefault="008F2240" w14:paraId="193992D5" w14:textId="77777777"/>
        </w:tc>
      </w:tr>
      <w:tr w:rsidRPr="008F2240" w:rsidR="008F2240" w:rsidTr="008F2240" w14:paraId="2F95DD76" w14:textId="77777777">
        <w:trPr>
          <w:trHeight w:val="315"/>
        </w:trPr>
        <w:tc>
          <w:tcPr>
            <w:tcW w:w="5026" w:type="dxa"/>
            <w:noWrap/>
            <w:hideMark/>
          </w:tcPr>
          <w:p>
            <w:pPr>
              <w:rPr>
                <w:u w:val="single"/>
              </w:rPr>
            </w:pPr>
            <w:hyperlink w:history="1" r:id="rId22">
              <w:r w:rsidRPr="008F2240">
                <w:rPr>
                  <w:rStyle w:val="Hyperlink"/>
                </w:rPr>
                <w:t xml:space="preserve">https://www.iberdrola.com/home </w:t>
              </w:r>
            </w:hyperlink>
          </w:p>
        </w:tc>
        <w:tc>
          <w:tcPr>
            <w:tcW w:w="986" w:type="dxa"/>
            <w:noWrap/>
            <w:hideMark/>
          </w:tcPr>
          <w:p>
            <w:r w:rsidRPr="008F2240">
              <w:t xml:space="preserve">3.33%</w:t>
            </w:r>
          </w:p>
        </w:tc>
        <w:tc>
          <w:tcPr>
            <w:tcW w:w="25123" w:type="dxa"/>
            <w:noWrap/>
            <w:hideMark/>
          </w:tcPr>
          <w:p>
            <w:pPr>
              <w:rPr>
                <w:u w:val="single"/>
              </w:rPr>
            </w:pPr>
            <w:hyperlink w:history="1" r:id="rId23">
              <w:r w:rsidRPr="008F2240">
                <w:rPr>
                  <w:rStyle w:val="Hyperlink"/>
                </w:rPr>
                <w:t xml:space="preserve">https://www.ftcsolar.com/ </w:t>
              </w:r>
            </w:hyperlink>
          </w:p>
        </w:tc>
        <w:tc>
          <w:tcPr>
            <w:tcW w:w="530" w:type="dxa"/>
            <w:noWrap/>
            <w:hideMark/>
          </w:tcPr>
          <w:p>
            <w:r w:rsidRPr="008F2240">
              <w:t xml:space="preserve">3.14%</w:t>
            </w:r>
          </w:p>
        </w:tc>
        <w:tc>
          <w:tcPr>
            <w:tcW w:w="10" w:type="dxa"/>
            <w:hideMark/>
          </w:tcPr>
          <w:p w:rsidRPr="008F2240" w:rsidR="008F2240" w:rsidRDefault="008F2240" w14:paraId="5D9EC91A" w14:textId="77777777"/>
        </w:tc>
      </w:tr>
      <w:tr w:rsidRPr="008F2240" w:rsidR="008F2240" w:rsidTr="008F2240" w14:paraId="3217B76C" w14:textId="77777777">
        <w:trPr>
          <w:trHeight w:val="315"/>
        </w:trPr>
        <w:tc>
          <w:tcPr>
            <w:tcW w:w="5026" w:type="dxa"/>
            <w:noWrap/>
            <w:hideMark/>
          </w:tcPr>
          <w:p>
            <w:pPr>
              <w:rPr>
                <w:u w:val="single"/>
              </w:rPr>
            </w:pPr>
            <w:hyperlink w:history="1" r:id="rId24">
              <w:r w:rsidRPr="008F2240">
                <w:rPr>
                  <w:rStyle w:val="Hyperlink"/>
                </w:rPr>
                <w:t xml:space="preserve">https://group.bnpparibas/en/ </w:t>
              </w:r>
            </w:hyperlink>
          </w:p>
        </w:tc>
        <w:tc>
          <w:tcPr>
            <w:tcW w:w="986" w:type="dxa"/>
            <w:noWrap/>
            <w:hideMark/>
          </w:tcPr>
          <w:p>
            <w:r w:rsidRPr="008F2240">
              <w:t xml:space="preserve">3.09%</w:t>
            </w:r>
          </w:p>
        </w:tc>
        <w:tc>
          <w:tcPr>
            <w:tcW w:w="25123" w:type="dxa"/>
            <w:noWrap/>
            <w:hideMark/>
          </w:tcPr>
          <w:p>
            <w:pPr>
              <w:rPr>
                <w:u w:val="single"/>
              </w:rPr>
            </w:pPr>
            <w:hyperlink w:history="1" r:id="rId25">
              <w:r w:rsidRPr="008F2240">
                <w:rPr>
                  <w:rStyle w:val="Hyperlink"/>
                </w:rPr>
                <w:t xml:space="preserve">https://www.solaredge.com/home </w:t>
              </w:r>
            </w:hyperlink>
          </w:p>
        </w:tc>
        <w:tc>
          <w:tcPr>
            <w:tcW w:w="530" w:type="dxa"/>
            <w:noWrap/>
            <w:hideMark/>
          </w:tcPr>
          <w:p>
            <w:r w:rsidRPr="008F2240">
              <w:t xml:space="preserve">3.</w:t>
            </w:r>
            <w:r w:rsidRPr="008F2240">
              <w:lastRenderedPageBreak/>
              <w:t xml:space="preserve">09%</w:t>
            </w:r>
          </w:p>
        </w:tc>
        <w:tc>
          <w:tcPr>
            <w:tcW w:w="10" w:type="dxa"/>
            <w:hideMark/>
          </w:tcPr>
          <w:p w:rsidRPr="008F2240" w:rsidR="008F2240" w:rsidRDefault="008F2240" w14:paraId="5FFE1926" w14:textId="77777777"/>
        </w:tc>
      </w:tr>
      <w:tr w:rsidRPr="008F2240" w:rsidR="008F2240" w:rsidTr="008F2240" w14:paraId="54C28476" w14:textId="77777777">
        <w:trPr>
          <w:trHeight w:val="315"/>
        </w:trPr>
        <w:tc>
          <w:tcPr>
            <w:tcW w:w="31665" w:type="dxa"/>
            <w:gridSpan w:val="4"/>
            <w:noWrap/>
            <w:hideMark/>
          </w:tcPr>
          <w:p w:rsidRPr="008F2240" w:rsidR="008F2240" w:rsidP="008F2240" w:rsidRDefault="008F2240" w14:paraId="52E4844C" w14:textId="77777777">
            <w:r w:rsidRPr="008F2240">
              <w:t> </w:t>
            </w:r>
          </w:p>
        </w:tc>
        <w:tc>
          <w:tcPr>
            <w:tcW w:w="10" w:type="dxa"/>
            <w:hideMark/>
          </w:tcPr>
          <w:p w:rsidRPr="008F2240" w:rsidR="008F2240" w:rsidRDefault="008F2240" w14:paraId="23B43E30" w14:textId="77777777"/>
        </w:tc>
      </w:tr>
      <w:tr w:rsidRPr="008F2240" w:rsidR="008F2240" w:rsidTr="008F2240" w14:paraId="5D04F750" w14:textId="77777777">
        <w:trPr>
          <w:trHeight w:val="315"/>
        </w:trPr>
        <w:tc>
          <w:tcPr>
            <w:tcW w:w="31665" w:type="dxa"/>
            <w:gridSpan w:val="4"/>
            <w:noWrap/>
            <w:hideMark/>
          </w:tcPr>
          <w:p w:rsidRPr="008F2240" w:rsidR="008F2240" w:rsidP="008F2240" w:rsidRDefault="008F2240" w14:paraId="45609894" w14:textId="77777777">
            <w:r w:rsidRPr="008F2240">
              <w:t> </w:t>
            </w:r>
          </w:p>
        </w:tc>
        <w:tc>
          <w:tcPr>
            <w:tcW w:w="10" w:type="dxa"/>
            <w:hideMark/>
          </w:tcPr>
          <w:p w:rsidRPr="008F2240" w:rsidR="008F2240" w:rsidRDefault="008F2240" w14:paraId="25CA4D52" w14:textId="77777777"/>
        </w:tc>
      </w:tr>
      <w:tr w:rsidRPr="008F2240" w:rsidR="008F2240" w:rsidTr="008F2240" w14:paraId="5FE38DC4" w14:textId="77777777">
        <w:trPr>
          <w:trHeight w:val="315"/>
        </w:trPr>
        <w:tc>
          <w:tcPr>
            <w:tcW w:w="31665" w:type="dxa"/>
            <w:gridSpan w:val="4"/>
            <w:vMerge w:val="restart"/>
            <w:hideMark/>
          </w:tcPr>
          <w:p>
            <w:pPr>
              <w:rPr>
                <w:b/>
                <w:bCs/>
                <w:lang w:val="en-US"/>
              </w:rPr>
            </w:pPr>
            <w:r w:rsidRPr="008F2240">
              <w:rPr>
                <w:b/>
                <w:bCs/>
                <w:lang w:val="en-US"/>
              </w:rPr>
              <w:t xml:space="preserve">Können Sie auf der Grundlage der obigen Informationen feststellen, welche ETF tatsächlich Greenwashing betreiben? Bitte nennen Sie unten einige Gründe, um Ihre Behauptungen zu untermauern.</w:t>
            </w:r>
          </w:p>
        </w:tc>
        <w:tc>
          <w:tcPr>
            <w:tcW w:w="10" w:type="dxa"/>
            <w:hideMark/>
          </w:tcPr>
          <w:p w:rsidRPr="008F2240" w:rsidR="008F2240" w:rsidRDefault="008F2240" w14:paraId="211FE6BC" w14:textId="77777777">
            <w:pPr>
              <w:rPr>
                <w:lang w:val="en-US"/>
              </w:rPr>
            </w:pPr>
          </w:p>
        </w:tc>
      </w:tr>
      <w:tr w:rsidRPr="008F2240" w:rsidR="008F2240" w:rsidTr="008F2240" w14:paraId="25DCD70D" w14:textId="77777777">
        <w:trPr>
          <w:trHeight w:val="315"/>
        </w:trPr>
        <w:tc>
          <w:tcPr>
            <w:tcW w:w="31665" w:type="dxa"/>
            <w:gridSpan w:val="4"/>
            <w:vMerge/>
            <w:hideMark/>
          </w:tcPr>
          <w:p w:rsidRPr="008F2240" w:rsidR="008F2240" w:rsidRDefault="008F2240" w14:paraId="37C27F61" w14:textId="77777777">
            <w:pPr>
              <w:rPr>
                <w:b/>
                <w:bCs/>
                <w:lang w:val="en-US"/>
              </w:rPr>
            </w:pPr>
          </w:p>
        </w:tc>
        <w:tc>
          <w:tcPr>
            <w:tcW w:w="10" w:type="dxa"/>
            <w:noWrap/>
            <w:hideMark/>
          </w:tcPr>
          <w:p w:rsidRPr="008F2240" w:rsidR="008F2240" w:rsidP="008F2240" w:rsidRDefault="008F2240" w14:paraId="3B9D8AA6" w14:textId="77777777">
            <w:pPr>
              <w:rPr>
                <w:b/>
                <w:bCs/>
                <w:lang w:val="en-US"/>
              </w:rPr>
            </w:pPr>
          </w:p>
        </w:tc>
      </w:tr>
    </w:tbl>
    <w:p w:rsidRPr="008F2240" w:rsidR="008F2240" w:rsidRDefault="008F2240" w14:paraId="1C55CD2B" w14:textId="76B3CFCC">
      <w:pPr>
        <w:rPr>
          <w:lang w:val="en-US"/>
        </w:rPr>
      </w:pPr>
    </w:p>
    <w:sectPr w:rsidRPr="008F2240" w:rsidR="00CD62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40"/>
    <w:rsid w:val="002D3757"/>
    <w:rsid w:val="00417A4B"/>
    <w:rsid w:val="005F192F"/>
    <w:rsid w:val="00603462"/>
    <w:rsid w:val="008C2545"/>
    <w:rsid w:val="008F2240"/>
    <w:rsid w:val="00DE44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4D84326"/>
  <w15:chartTrackingRefBased/>
  <w15:docId w15:val="{58723D65-6D84-4FF7-AD44-5E4B653F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F2240"/>
    <w:rPr>
      <w:color w:val="0563C1"/>
      <w:u w:val="single"/>
    </w:rPr>
  </w:style>
  <w:style w:type="table" w:styleId="Tabellenraster">
    <w:name w:val="Table Grid"/>
    <w:basedOn w:val="NormaleTabelle"/>
    <w:uiPriority w:val="39"/>
    <w:rsid w:val="008F2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F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74886">
      <w:bodyDiv w:val="1"/>
      <w:marLeft w:val="0"/>
      <w:marRight w:val="0"/>
      <w:marTop w:val="0"/>
      <w:marBottom w:val="0"/>
      <w:divBdr>
        <w:top w:val="none" w:sz="0" w:space="0" w:color="auto"/>
        <w:left w:val="none" w:sz="0" w:space="0" w:color="auto"/>
        <w:bottom w:val="none" w:sz="0" w:space="0" w:color="auto"/>
        <w:right w:val="none" w:sz="0" w:space="0" w:color="auto"/>
      </w:divBdr>
    </w:div>
    <w:div w:id="159720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p.com/index.html" TargetMode="External"/><Relationship Id="rId13" Type="http://schemas.openxmlformats.org/officeDocument/2006/relationships/hyperlink" Target="https://www.sunnova.com/" TargetMode="External"/><Relationship Id="rId18" Type="http://schemas.openxmlformats.org/officeDocument/2006/relationships/hyperlink" Target="https://www.airliquide.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altuspower.com/" TargetMode="External"/><Relationship Id="rId7" Type="http://schemas.openxmlformats.org/officeDocument/2006/relationships/hyperlink" Target="https://www.canadiansolar.com/" TargetMode="External"/><Relationship Id="rId12" Type="http://schemas.openxmlformats.org/officeDocument/2006/relationships/hyperlink" Target="https://www.siemens.com/global/en.html" TargetMode="External"/><Relationship Id="rId17" Type="http://schemas.openxmlformats.org/officeDocument/2006/relationships/hyperlink" Target="https://ir.zscaler.com/news-releases/news-release-details/maxeon-solar-technologies-standardizes-zscaler-zero-trust?_bt=662675997029&amp;_bk=&amp;_bm=&amp;_bn=g&amp;_bg=152850254360&amp;utm_source=google&amp;utm_medium=cpc&amp;utm_campaign=google-ads-na&amp;gclid=EAIaIQobChMIl6a4hunRgAMVIZRoCR0RaAGiEAAYASAAEgKU5_D_BwE" TargetMode="External"/><Relationship Id="rId25" Type="http://schemas.openxmlformats.org/officeDocument/2006/relationships/hyperlink" Target="https://www.solaredge.com/home" TargetMode="External"/><Relationship Id="rId2" Type="http://schemas.openxmlformats.org/officeDocument/2006/relationships/settings" Target="settings.xml"/><Relationship Id="rId16" Type="http://schemas.openxmlformats.org/officeDocument/2006/relationships/hyperlink" Target="https://www.se.com/ww/en/" TargetMode="External"/><Relationship Id="rId20" Type="http://schemas.openxmlformats.org/officeDocument/2006/relationships/hyperlink" Target="https://www.prosus.com/" TargetMode="Externa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asml.com/en" TargetMode="External"/><Relationship Id="rId11" Type="http://schemas.openxmlformats.org/officeDocument/2006/relationships/hyperlink" Target="https://ir.arraytechinc.com/" TargetMode="External"/><Relationship Id="rId24" Type="http://schemas.openxmlformats.org/officeDocument/2006/relationships/hyperlink" Target="https://group.bnpparibas/en/" TargetMode="External"/><Relationship Id="rId5" Type="http://schemas.openxmlformats.org/officeDocument/2006/relationships/image" Target="media/image2.png"/><Relationship Id="rId15" Type="http://schemas.openxmlformats.org/officeDocument/2006/relationships/hyperlink" Target="https://www.shoals.com/" TargetMode="External"/><Relationship Id="rId23" Type="http://schemas.openxmlformats.org/officeDocument/2006/relationships/hyperlink" Target="https://www.ftcsolar.com/" TargetMode="External"/><Relationship Id="rId28" Type="http://schemas.openxmlformats.org/officeDocument/2006/relationships/customXml" Target="../customXml/item1.xml"/><Relationship Id="rId10" Type="http://schemas.openxmlformats.org/officeDocument/2006/relationships/hyperlink" Target="https://totalenergies.com/" TargetMode="External"/><Relationship Id="rId19" Type="http://schemas.openxmlformats.org/officeDocument/2006/relationships/hyperlink" Target="https://www.shinsungeng.com/eng" TargetMode="External"/><Relationship Id="rId4" Type="http://schemas.openxmlformats.org/officeDocument/2006/relationships/image" Target="media/image1.png"/><Relationship Id="rId9" Type="http://schemas.openxmlformats.org/officeDocument/2006/relationships/hyperlink" Target="https://www.glassglobal.com/profile/flat_glass_group_coltd-72510.html" TargetMode="External"/><Relationship Id="rId14" Type="http://schemas.openxmlformats.org/officeDocument/2006/relationships/hyperlink" Target="https://www.sanofi.com/en" TargetMode="External"/><Relationship Id="rId22" Type="http://schemas.openxmlformats.org/officeDocument/2006/relationships/hyperlink" Target="https://www.iberdrola.com/home"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8" ma:contentTypeDescription="Create a new document." ma:contentTypeScope="" ma:versionID="484d0e7fe09fe8de3466b246621db11c">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e2ff8ef15423d4f21e0a799f7012675e"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fe506b-8ef3-4252-9ac8-4ea0dfba2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4153eb-2901-4474-b3ae-28ce23b8bb52}" ma:internalName="TaxCatchAll" ma:showField="CatchAllData" ma:web="8e72f4a7-cae9-4e97-b541-2580a12d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81F9E-DF9B-4F20-AFFA-01FBC816917A}"/>
</file>

<file path=customXml/itemProps2.xml><?xml version="1.0" encoding="utf-8"?>
<ds:datastoreItem xmlns:ds="http://schemas.openxmlformats.org/officeDocument/2006/customXml" ds:itemID="{25F42213-C916-4A9F-8C3D-6F99BF7F27E5}"/>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470</ap:Words>
  <ap:Characters>2962</ap:Characters>
  <ap:Application>Microsoft Office Word</ap:Application>
  <ap:DocSecurity>0</ap:DocSecurity>
  <ap:Lines>24</ap:Lines>
  <ap:Paragraphs>6</ap:Paragraphs>
  <ap:ScaleCrop>false</ap:ScaleCrop>
  <ap:Company/>
  <ap:LinksUpToDate>false</ap:LinksUpToDate>
  <ap:CharactersWithSpaces>3426</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Christiane Hölz</dc:creator>
  <keywords>, docId:12F26F0D1B7138ECF9324EC4D43C9AB3</keywords>
  <dc:description/>
  <lastModifiedBy>Christiane Hölz</lastModifiedBy>
  <revision>1</revision>
  <dcterms:created xsi:type="dcterms:W3CDTF">2023-08-21T07:33:00.0000000Z</dcterms:created>
  <dcterms:modified xsi:type="dcterms:W3CDTF">2023-08-21T07:34:00.0000000Z</dcterms:modified>
</coreProperties>
</file>